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34F0" w14:textId="1062C512" w:rsidR="00C55192" w:rsidRPr="00CD1530" w:rsidRDefault="007A2637" w:rsidP="0086753C">
      <w:pPr>
        <w:spacing w:after="0" w:line="3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D1530">
        <w:rPr>
          <w:noProof/>
        </w:rPr>
        <w:drawing>
          <wp:inline distT="0" distB="0" distL="0" distR="0" wp14:anchorId="382EFF08" wp14:editId="7DFAB849">
            <wp:extent cx="1805940" cy="624840"/>
            <wp:effectExtent l="0" t="0" r="0" b="0"/>
            <wp:docPr id="1" name="image1.png" descr="C:\Users\Gilav\Documents\NNA\10. PATTO RIFORMA NA\6. SITO E LOGO\Logo\logo_patto_sfond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:\Users\Gilav\Documents\NNA\10. PATTO RIFORMA NA\6. SITO E LOGO\Logo\logo_patto_sfondo_tras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D152E" w14:textId="7C6DC9C4" w:rsidR="007A2637" w:rsidRPr="00CD1530" w:rsidRDefault="007A2637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3EF3FC2" w14:textId="0A6387D8" w:rsidR="0086753C" w:rsidRDefault="0086753C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75F1D65" w14:textId="77777777" w:rsidR="003D78D6" w:rsidRPr="00CD1530" w:rsidRDefault="003D78D6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A87A26" w14:textId="39213505" w:rsidR="007A2637" w:rsidRPr="00CD1530" w:rsidRDefault="00CC3D51" w:rsidP="0086753C">
      <w:pPr>
        <w:spacing w:after="0" w:line="3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30">
        <w:rPr>
          <w:rFonts w:ascii="Times New Roman" w:hAnsi="Times New Roman" w:cs="Times New Roman"/>
          <w:b/>
          <w:bCs/>
          <w:sz w:val="24"/>
          <w:szCs w:val="24"/>
        </w:rPr>
        <w:t>Comunicato Stampa                                                                                     Roma</w:t>
      </w:r>
      <w:r w:rsidRPr="0069720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D57C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680D15" w:rsidRPr="0069720A">
        <w:rPr>
          <w:rFonts w:ascii="Times New Roman" w:hAnsi="Times New Roman" w:cs="Times New Roman"/>
          <w:b/>
          <w:bCs/>
          <w:sz w:val="24"/>
          <w:szCs w:val="24"/>
        </w:rPr>
        <w:t xml:space="preserve"> marzo</w:t>
      </w:r>
      <w:r w:rsidRPr="00CD153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680D15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3909AD64" w14:textId="77777777" w:rsidR="00600BB8" w:rsidRPr="00CD1530" w:rsidRDefault="00600BB8" w:rsidP="0086753C">
      <w:pPr>
        <w:spacing w:after="0"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7737F3" w14:textId="77777777" w:rsidR="005230E9" w:rsidRDefault="005230E9" w:rsidP="00377DE4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</w:p>
    <w:p w14:paraId="27599D29" w14:textId="08DE6938" w:rsidR="00680D15" w:rsidRDefault="00377DE4" w:rsidP="00377DE4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  <w:r w:rsidRPr="00DD15E1">
        <w:rPr>
          <w:rFonts w:ascii="Dax" w:hAnsi="Dax" w:cs="Times New Roman"/>
          <w:b/>
          <w:bCs/>
          <w:sz w:val="28"/>
          <w:szCs w:val="28"/>
        </w:rPr>
        <w:t>ANZIANI NON AUTOSUFFICIENTI</w:t>
      </w:r>
    </w:p>
    <w:p w14:paraId="62D391E8" w14:textId="7AD7E760" w:rsidR="00680D15" w:rsidRDefault="00680D15" w:rsidP="00680D15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  <w:r>
        <w:rPr>
          <w:rFonts w:ascii="Dax" w:hAnsi="Dax" w:cs="Times New Roman"/>
          <w:b/>
          <w:bCs/>
          <w:sz w:val="28"/>
          <w:szCs w:val="28"/>
        </w:rPr>
        <w:t>L’ITALIA HA UNA BUONA LEGGE, ORA COSTRUIRE INTERVENTI</w:t>
      </w:r>
      <w:r w:rsidR="0033094A">
        <w:rPr>
          <w:rFonts w:ascii="Dax" w:hAnsi="Dax" w:cs="Times New Roman"/>
          <w:b/>
          <w:bCs/>
          <w:sz w:val="28"/>
          <w:szCs w:val="28"/>
        </w:rPr>
        <w:t xml:space="preserve"> CONCRETI</w:t>
      </w:r>
      <w:r w:rsidR="00EC72FC">
        <w:rPr>
          <w:rFonts w:ascii="Dax" w:hAnsi="Dax" w:cs="Times New Roman"/>
          <w:b/>
          <w:bCs/>
          <w:sz w:val="28"/>
          <w:szCs w:val="28"/>
        </w:rPr>
        <w:t xml:space="preserve"> </w:t>
      </w:r>
      <w:r w:rsidR="00EC72FC" w:rsidRPr="00952902">
        <w:rPr>
          <w:rFonts w:ascii="Dax" w:hAnsi="Dax" w:cs="Times New Roman"/>
          <w:b/>
          <w:bCs/>
          <w:sz w:val="28"/>
          <w:szCs w:val="28"/>
        </w:rPr>
        <w:t>CON RISORSE ADEGUATE</w:t>
      </w:r>
    </w:p>
    <w:p w14:paraId="052774DE" w14:textId="77777777" w:rsidR="005230E9" w:rsidRDefault="005230E9" w:rsidP="00680D15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</w:p>
    <w:p w14:paraId="08547AE8" w14:textId="77777777" w:rsidR="00680D15" w:rsidRDefault="00680D15" w:rsidP="00680D15">
      <w:pPr>
        <w:spacing w:after="0" w:line="340" w:lineRule="atLeast"/>
        <w:jc w:val="center"/>
        <w:rPr>
          <w:rFonts w:ascii="Dax" w:hAnsi="Dax" w:cs="Times New Roman"/>
          <w:b/>
          <w:bCs/>
          <w:sz w:val="28"/>
          <w:szCs w:val="28"/>
        </w:rPr>
      </w:pPr>
    </w:p>
    <w:p w14:paraId="7CA74E0C" w14:textId="29D4E811" w:rsidR="00931AD0" w:rsidRPr="00FE5AFC" w:rsidRDefault="00680D15" w:rsidP="00931AD0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  <w:r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Il Parlamento ha approvato la Legge Delega per l’assistenza agli anziani non autosufficienti.  Si tratta di un testo valido, che recepisce</w:t>
      </w:r>
      <w:r w:rsidR="00377DE4" w:rsidRPr="00DD15E1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numerose proposte del Patto per un Nuovo Welfare sulla Non Autosufficienza. </w:t>
      </w:r>
      <w:r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>Adesso, però, comincia la parte più difficile: tradurlo in opportune risposte per gli anziani e le loro famiglie</w:t>
      </w:r>
      <w:r w:rsidR="00931AD0"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  <w:t xml:space="preserve"> </w:t>
      </w:r>
    </w:p>
    <w:p w14:paraId="779FDD90" w14:textId="396A2B08" w:rsidR="00377DE4" w:rsidRPr="00FE5AFC" w:rsidRDefault="00377DE4" w:rsidP="00680D15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0E18D325" w14:textId="6F5A33D1" w:rsidR="00310009" w:rsidRDefault="00310009" w:rsidP="00377DE4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7282BA1B" w14:textId="1C2A8E47" w:rsidR="00EE0657" w:rsidRDefault="00EE0657" w:rsidP="00377DE4">
      <w:pPr>
        <w:spacing w:after="0" w:line="340" w:lineRule="atLeast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27A105FF" w14:textId="5A560132" w:rsidR="00EE0657" w:rsidRDefault="002A0B76" w:rsidP="00C43920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È </w:t>
      </w:r>
      <w:r w:rsidR="00EE065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stato </w:t>
      </w:r>
      <w:r w:rsidR="00EE0657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approvato </w:t>
      </w:r>
      <w:r w:rsidR="003D57C1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ieri</w:t>
      </w:r>
      <w:r w:rsidR="00EE0657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="00F0228F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sera </w:t>
      </w:r>
      <w:r w:rsidR="00EE0657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alla Camera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, </w:t>
      </w:r>
      <w:r w:rsidR="0033094A">
        <w:rPr>
          <w:rFonts w:eastAsia="Times New Roman" w:cstheme="minorHAnsi"/>
          <w:color w:val="222222"/>
          <w:sz w:val="24"/>
          <w:szCs w:val="24"/>
          <w:lang w:eastAsia="it-IT"/>
        </w:rPr>
        <w:t>dopo il via libera al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Senato lo scorso 8 marzo,</w:t>
      </w:r>
      <w:r w:rsidR="00EE0657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il Disegno di Legge </w:t>
      </w:r>
      <w:r w:rsidR="00EB421D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Delega</w:t>
      </w:r>
      <w:r w:rsidR="00EE0657" w:rsidRPr="007C1CE7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in materia di politiche in favore delle persone anziane</w:t>
      </w:r>
      <w:r w:rsidR="00EE065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  <w:r w:rsidR="00C8114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tratta di un 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traguardo </w:t>
      </w:r>
      <w:r w:rsidR="00915122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molto importante e 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fortemente voluto dalle </w:t>
      </w:r>
      <w:r w:rsidR="005F3FD8" w:rsidRPr="0033094A">
        <w:rPr>
          <w:rFonts w:eastAsia="Times New Roman" w:cstheme="minorHAnsi"/>
          <w:color w:val="222222"/>
          <w:sz w:val="24"/>
          <w:szCs w:val="24"/>
          <w:lang w:eastAsia="it-IT"/>
        </w:rPr>
        <w:t>moltissime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organizzazioni </w:t>
      </w:r>
      <w:r w:rsidR="00E90CB2">
        <w:rPr>
          <w:rFonts w:eastAsia="Times New Roman" w:cstheme="minorHAnsi"/>
          <w:color w:val="222222"/>
          <w:sz w:val="24"/>
          <w:szCs w:val="24"/>
          <w:lang w:eastAsia="it-IT"/>
        </w:rPr>
        <w:t>del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Patto che hanno lavorato</w:t>
      </w:r>
      <w:r w:rsidR="00DA56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DA56D7" w:rsidRPr="00952902">
        <w:rPr>
          <w:rFonts w:eastAsia="Times New Roman" w:cstheme="minorHAnsi"/>
          <w:color w:val="222222"/>
          <w:sz w:val="24"/>
          <w:szCs w:val="24"/>
          <w:lang w:eastAsia="it-IT"/>
        </w:rPr>
        <w:t>in sinergia</w:t>
      </w:r>
      <w:r w:rsidR="00DA56D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assiduamente in questi ultimi due anni affinché, per prima cosa, la riforma dell’assistenza agli anziani venisse inserita nel PNRR e, successivamente, perché venissero </w:t>
      </w:r>
      <w:r w:rsidR="000C242E" w:rsidRPr="0033094A">
        <w:rPr>
          <w:rFonts w:eastAsia="Times New Roman" w:cstheme="minorHAnsi"/>
          <w:color w:val="222222"/>
          <w:sz w:val="24"/>
          <w:szCs w:val="24"/>
          <w:lang w:eastAsia="it-IT"/>
        </w:rPr>
        <w:t>accolte</w:t>
      </w:r>
      <w:r w:rsidR="00C8114B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dalle istituzioni le proposte volte a delineare una buona riforma per i milioni di italiani coinvolti. </w:t>
      </w:r>
      <w:r w:rsidR="00EE0657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tratta di un testo di legge molto importante </w:t>
      </w:r>
      <w:r w:rsidR="00EB421D" w:rsidRPr="0033094A">
        <w:rPr>
          <w:rFonts w:eastAsia="Times New Roman" w:cstheme="minorHAnsi"/>
          <w:color w:val="222222"/>
          <w:sz w:val="24"/>
          <w:szCs w:val="24"/>
          <w:lang w:eastAsia="it-IT"/>
        </w:rPr>
        <w:t>che</w:t>
      </w:r>
      <w:r w:rsidR="00EE0657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dal punto di vista dei contenuti, </w:t>
      </w:r>
      <w:r w:rsidR="00EB421D" w:rsidRPr="0033094A">
        <w:rPr>
          <w:rFonts w:eastAsia="Times New Roman" w:cstheme="minorHAnsi"/>
          <w:color w:val="222222"/>
          <w:sz w:val="24"/>
          <w:szCs w:val="24"/>
          <w:lang w:eastAsia="it-IT"/>
        </w:rPr>
        <w:t>presenta al suo interno</w:t>
      </w:r>
      <w:r w:rsidR="00EE0657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numerose proposte del Patto e anche alcuni </w:t>
      </w:r>
      <w:r w:rsidR="00EB421D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testi </w:t>
      </w:r>
      <w:r w:rsidR="00EE0657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degli emendamenti </w:t>
      </w:r>
      <w:r w:rsidR="00A424AC" w:rsidRP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inviati </w:t>
      </w:r>
      <w:r w:rsidR="00EE0657" w:rsidRPr="0033094A">
        <w:rPr>
          <w:rFonts w:eastAsia="Times New Roman" w:cstheme="minorHAnsi"/>
          <w:color w:val="222222"/>
          <w:sz w:val="24"/>
          <w:szCs w:val="24"/>
          <w:lang w:eastAsia="it-IT"/>
        </w:rPr>
        <w:t>dalla coalizione sociale</w:t>
      </w:r>
      <w:r w:rsidR="00A424A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alla Commissione Affari Sociali del Senato</w:t>
      </w:r>
      <w:r w:rsidR="00EE0657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</w:p>
    <w:p w14:paraId="1B3B5008" w14:textId="05411412" w:rsidR="00292696" w:rsidRDefault="0000745F" w:rsidP="00097E98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“Importanti sono state </w:t>
      </w:r>
      <w:r w:rsidR="00BE6861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l’attenzione ai contenuti e</w:t>
      </w:r>
      <w:r w:rsidR="00E006F4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la disponibilità all’ascolto della società civile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00745F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del </w:t>
      </w:r>
      <w:r w:rsidRPr="0095290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it-IT"/>
        </w:rPr>
        <w:t>Viceministro On.  Maria Teresa Bellucci, titolare della riforma</w:t>
      </w:r>
      <w:r w:rsidR="00F0320E" w:rsidRPr="0095290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it-IT"/>
        </w:rPr>
        <w:t xml:space="preserve">, </w:t>
      </w:r>
      <w:r w:rsidR="00F0320E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e l’atteggiamento </w:t>
      </w:r>
      <w:r w:rsidR="008E71F1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costruttivo </w:t>
      </w:r>
      <w:r w:rsidR="00F0320E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anche delle opposizioni</w:t>
      </w:r>
      <w:r w:rsidR="008E71F1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in Parlamento</w:t>
      </w:r>
      <w:r w:rsidR="00F0320E" w:rsidRPr="0095290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it-IT"/>
        </w:rPr>
        <w:t>”</w:t>
      </w:r>
      <w:r w:rsidR="0033094A" w:rsidRPr="00952902">
        <w:rPr>
          <w:rFonts w:eastAsia="Times New Roman" w:cstheme="minorHAnsi"/>
          <w:color w:val="222222"/>
          <w:sz w:val="24"/>
          <w:szCs w:val="24"/>
          <w:lang w:eastAsia="it-IT"/>
        </w:rPr>
        <w:t>, dichiarano</w:t>
      </w:r>
      <w:r w:rsidR="0033094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organizzazioni del Patto. “</w:t>
      </w:r>
      <w:r w:rsidR="0033094A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Ora guardiamo </w:t>
      </w:r>
      <w:r w:rsidR="002D77BB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avanti: occorre tradurre</w:t>
      </w:r>
      <w:r w:rsidR="00F60205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</w:t>
      </w:r>
      <w:r w:rsidR="002D77BB" w:rsidRPr="0033094A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il testo della Legge Delega in opportune risposte per gli anziani e le loro famiglie</w:t>
      </w:r>
      <w:r w:rsidR="000F36C4" w:rsidRPr="00AA36F2">
        <w:rPr>
          <w:rFonts w:eastAsia="Times New Roman" w:cstheme="minorHAnsi"/>
          <w:color w:val="222222"/>
          <w:sz w:val="24"/>
          <w:szCs w:val="24"/>
          <w:lang w:eastAsia="it-IT"/>
        </w:rPr>
        <w:t>”</w:t>
      </w:r>
      <w:r w:rsidR="002D77BB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  <w:r w:rsidR="001D392B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33094A">
        <w:rPr>
          <w:rFonts w:eastAsia="Times New Roman" w:cstheme="minorHAnsi"/>
          <w:color w:val="222222"/>
          <w:sz w:val="24"/>
          <w:szCs w:val="24"/>
          <w:lang w:eastAsia="it-IT"/>
        </w:rPr>
        <w:t>Per questo</w:t>
      </w:r>
      <w:r w:rsidR="001D392B">
        <w:rPr>
          <w:rFonts w:eastAsia="Times New Roman" w:cstheme="minorHAnsi"/>
          <w:color w:val="222222"/>
          <w:sz w:val="24"/>
          <w:szCs w:val="24"/>
          <w:lang w:eastAsia="it-IT"/>
        </w:rPr>
        <w:t>,</w:t>
      </w:r>
      <w:r w:rsidR="00EB729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le organizzazioni </w:t>
      </w:r>
      <w:r w:rsidR="009C6C23">
        <w:rPr>
          <w:rFonts w:eastAsia="Times New Roman" w:cstheme="minorHAnsi"/>
          <w:color w:val="222222"/>
          <w:sz w:val="24"/>
          <w:szCs w:val="24"/>
          <w:lang w:eastAsia="it-IT"/>
        </w:rPr>
        <w:t>ribadiscono</w:t>
      </w:r>
      <w:r w:rsidR="00F6020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1D392B">
        <w:rPr>
          <w:rFonts w:eastAsia="Times New Roman" w:cstheme="minorHAnsi"/>
          <w:color w:val="222222"/>
          <w:sz w:val="24"/>
          <w:szCs w:val="24"/>
          <w:lang w:eastAsia="it-IT"/>
        </w:rPr>
        <w:t>come</w:t>
      </w:r>
      <w:r w:rsidR="00F60205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fondamentale </w:t>
      </w:r>
      <w:r w:rsidR="001D392B">
        <w:rPr>
          <w:rFonts w:eastAsia="Times New Roman" w:cstheme="minorHAnsi"/>
          <w:color w:val="222222"/>
          <w:sz w:val="24"/>
          <w:szCs w:val="24"/>
          <w:lang w:eastAsia="it-IT"/>
        </w:rPr>
        <w:t>lo stanziamento di tutte le</w:t>
      </w:r>
      <w:r w:rsidR="00E0317E" w:rsidRPr="003B4F0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="00E0317E" w:rsidRPr="0067685E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risorse</w:t>
      </w:r>
      <w:r w:rsidR="00EB7295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necessarie per attuare la riforma</w:t>
      </w:r>
      <w:r w:rsidR="006E5053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e gli interventi previsti</w:t>
      </w:r>
      <w:r w:rsidR="00E0317E" w:rsidRPr="003B4F0C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="00EB7295">
        <w:rPr>
          <w:rFonts w:eastAsia="Times New Roman" w:cstheme="minorHAnsi"/>
          <w:color w:val="222222"/>
          <w:sz w:val="24"/>
          <w:szCs w:val="24"/>
          <w:lang w:eastAsia="it-IT"/>
        </w:rPr>
        <w:t>dichiaran</w:t>
      </w:r>
      <w:r w:rsidR="009C6C23">
        <w:rPr>
          <w:rFonts w:eastAsia="Times New Roman" w:cstheme="minorHAnsi"/>
          <w:color w:val="222222"/>
          <w:sz w:val="24"/>
          <w:szCs w:val="24"/>
          <w:lang w:eastAsia="it-IT"/>
        </w:rPr>
        <w:t>do</w:t>
      </w:r>
      <w:r w:rsidR="00664484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  <w:r w:rsidR="00D539FE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“</w:t>
      </w:r>
      <w:r w:rsidR="00330BC6" w:rsidRPr="00330BC6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È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necessario un cospicuo investimento, </w:t>
      </w:r>
      <w:r w:rsid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per tradurre in atti concreti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</w:t>
      </w:r>
      <w:r w:rsid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l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’attenzione politica ai 10 milioni </w:t>
      </w:r>
      <w:r w:rsidR="00DC3003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di italiani, 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tra anziani, 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lastRenderedPageBreak/>
        <w:t>caregiver</w:t>
      </w:r>
      <w:r w:rsidR="001252AF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e</w:t>
      </w:r>
      <w:r w:rsidR="00E0317E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operatori</w:t>
      </w:r>
      <w:r w:rsidR="001252AF" w:rsidRP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professionali.</w:t>
      </w:r>
      <w:r w:rsidR="001D392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</w:t>
      </w:r>
      <w:r w:rsidR="001D392B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In</w:t>
      </w:r>
      <w:r w:rsidR="0067685E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particolare per la realizzazione dei servizi previsti</w:t>
      </w:r>
      <w:r w:rsidR="002B3F63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, </w:t>
      </w:r>
      <w:r w:rsidR="006E5053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sarà indispensabile </w:t>
      </w:r>
      <w:r w:rsidR="002B3F63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un segnale forte da parte del Governo nella prossima Legge di Bilancio</w:t>
      </w:r>
      <w:r w:rsidR="003057ED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prevista a dicembre</w:t>
      </w:r>
      <w:r w:rsidR="002B3F63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e </w:t>
      </w:r>
      <w:r w:rsidR="003057ED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nel</w:t>
      </w:r>
      <w:r w:rsidR="002B3F63" w:rsidRPr="0047149B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la definizione di un progetto pluriennale di finanziamento graduale per i prossimi anni</w:t>
      </w:r>
      <w:r w:rsidR="00664484" w:rsidRPr="00952902">
        <w:rPr>
          <w:rFonts w:eastAsia="Times New Roman" w:cstheme="minorHAnsi"/>
          <w:color w:val="222222"/>
          <w:sz w:val="24"/>
          <w:szCs w:val="24"/>
          <w:lang w:eastAsia="it-IT"/>
        </w:rPr>
        <w:t>”.</w:t>
      </w:r>
      <w:r w:rsidR="00292696" w:rsidRPr="0095290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E per quanto concerne i </w:t>
      </w:r>
      <w:r w:rsidR="00292696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caregiver</w:t>
      </w:r>
      <w:r w:rsidR="00292696" w:rsidRPr="00952902">
        <w:rPr>
          <w:rFonts w:eastAsia="Times New Roman" w:cstheme="minorHAnsi"/>
          <w:color w:val="222222"/>
          <w:sz w:val="24"/>
          <w:szCs w:val="24"/>
          <w:lang w:eastAsia="it-IT"/>
        </w:rPr>
        <w:t>, è essenziale procedere con la massima urgenza all’approvazione della legge di riconoscimento e sostegno affinché la riforma della non autosufficienza possa contare su una risorsa chiave per la sua concreta attuazione.</w:t>
      </w:r>
    </w:p>
    <w:p w14:paraId="31973F0D" w14:textId="125A95CA" w:rsidR="00E0317E" w:rsidRDefault="00E0317E" w:rsidP="00097E98">
      <w:pPr>
        <w:spacing w:after="0" w:line="360" w:lineRule="auto"/>
        <w:jc w:val="both"/>
        <w:rPr>
          <w:rFonts w:ascii="Dax" w:eastAsia="Times New Roman" w:hAnsi="Dax" w:cs="Arial"/>
          <w:b/>
          <w:bCs/>
          <w:i/>
          <w:iCs/>
          <w:color w:val="222222"/>
          <w:sz w:val="24"/>
          <w:szCs w:val="24"/>
          <w:lang w:eastAsia="it-IT"/>
        </w:rPr>
      </w:pPr>
    </w:p>
    <w:p w14:paraId="0CBF8C10" w14:textId="60C13A62" w:rsidR="00F60205" w:rsidRDefault="00F60205" w:rsidP="00097E98">
      <w:p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>Per quanto riguarda il lavoro dei prossimi mesi</w:t>
      </w:r>
      <w:r w:rsidRPr="004A4AA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le </w:t>
      </w:r>
      <w:r w:rsidR="00097E98" w:rsidRPr="004A4AA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57 </w:t>
      </w:r>
      <w:r w:rsidRPr="004A4AA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organizzazioni del Patto si </w:t>
      </w:r>
      <w:r w:rsidR="0008146A" w:rsidRPr="004A4AAD">
        <w:rPr>
          <w:rFonts w:eastAsia="Times New Roman" w:cstheme="minorHAnsi"/>
          <w:color w:val="222222"/>
          <w:sz w:val="24"/>
          <w:szCs w:val="24"/>
          <w:lang w:eastAsia="it-IT"/>
        </w:rPr>
        <w:t>adopereranno per</w:t>
      </w:r>
      <w:r w:rsidRPr="004A4AA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continuare a dare</w:t>
      </w:r>
      <w:r w:rsidRPr="00097E9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il loro contributo anche nella </w:t>
      </w:r>
      <w:r w:rsidR="004A4AA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successiva</w:t>
      </w:r>
      <w:r w:rsidRPr="00097E9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fase</w:t>
      </w:r>
      <w:r w:rsidR="002A0B76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097E98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di elaborazione dei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  <w:r w:rsidRPr="00CB246D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Decreti Delegati</w:t>
      </w:r>
      <w:r w:rsidR="00097E9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che dovranno essere </w:t>
      </w:r>
      <w:r w:rsidR="002A0B76">
        <w:rPr>
          <w:rFonts w:eastAsia="Times New Roman" w:cstheme="minorHAnsi"/>
          <w:color w:val="222222"/>
          <w:sz w:val="24"/>
          <w:szCs w:val="24"/>
          <w:lang w:eastAsia="it-IT"/>
        </w:rPr>
        <w:t>emanati</w:t>
      </w:r>
      <w:r w:rsidR="00097E9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dal </w:t>
      </w:r>
      <w:r w:rsidR="00097E98" w:rsidRPr="0095290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Governo </w:t>
      </w:r>
      <w:r w:rsidR="00097E98" w:rsidRPr="00952902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entro gennaio 2024</w:t>
      </w:r>
      <w:r w:rsidR="002A0B76" w:rsidRPr="00952902">
        <w:rPr>
          <w:rFonts w:eastAsia="Times New Roman" w:cstheme="minorHAnsi"/>
          <w:color w:val="222222"/>
          <w:sz w:val="24"/>
          <w:szCs w:val="24"/>
          <w:lang w:eastAsia="it-IT"/>
        </w:rPr>
        <w:t>:</w:t>
      </w:r>
      <w:r w:rsidR="0008146A" w:rsidRPr="00952902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“</w:t>
      </w:r>
      <w:r w:rsidR="0008146A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Auspichiamo di poter proseguire</w:t>
      </w:r>
      <w:r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, così come fatto finora, nel </w:t>
      </w:r>
      <w:r w:rsidR="004A4A33" w:rsidRPr="00952902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proficuo e costruttivo</w:t>
      </w:r>
      <w:r w:rsidRPr="004A4AAD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confronto</w:t>
      </w:r>
      <w:r w:rsidR="005F3FD8" w:rsidRPr="004A4AAD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con le istituzioni</w:t>
      </w:r>
      <w:r w:rsidRPr="004A4AAD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 xml:space="preserve"> sui contenuti </w:t>
      </w:r>
      <w:r w:rsidR="005F3FD8" w:rsidRPr="004A4AAD">
        <w:rPr>
          <w:rFonts w:eastAsia="Times New Roman" w:cstheme="minorHAnsi"/>
          <w:i/>
          <w:iCs/>
          <w:color w:val="222222"/>
          <w:sz w:val="24"/>
          <w:szCs w:val="24"/>
          <w:lang w:eastAsia="it-IT"/>
        </w:rPr>
        <w:t>della riforma per l’assistenza agli anziani non autosufficienti</w:t>
      </w:r>
      <w:r w:rsidR="005F3FD8" w:rsidRPr="004A4AAD">
        <w:rPr>
          <w:rFonts w:eastAsia="Times New Roman" w:cstheme="minorHAnsi"/>
          <w:color w:val="222222"/>
          <w:sz w:val="24"/>
          <w:szCs w:val="24"/>
          <w:lang w:eastAsia="it-IT"/>
        </w:rPr>
        <w:t>”</w:t>
      </w:r>
      <w:r w:rsidRPr="004A4AAD">
        <w:rPr>
          <w:rFonts w:eastAsia="Times New Roman" w:cstheme="minorHAnsi"/>
          <w:color w:val="222222"/>
          <w:sz w:val="24"/>
          <w:szCs w:val="24"/>
          <w:lang w:eastAsia="it-IT"/>
        </w:rPr>
        <w:t xml:space="preserve">. </w:t>
      </w:r>
    </w:p>
    <w:p w14:paraId="02A7AADD" w14:textId="3992F02A" w:rsidR="005E0DC1" w:rsidRDefault="005E0DC1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54BF7" w14:textId="77777777" w:rsidR="005A717F" w:rsidRDefault="005A717F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</w:rPr>
      </w:pPr>
    </w:p>
    <w:p w14:paraId="7E7CC01E" w14:textId="77777777" w:rsidR="005C3DF8" w:rsidRPr="00B86C4C" w:rsidRDefault="005C3DF8" w:rsidP="005C3DF8">
      <w:pPr>
        <w:pStyle w:val="Paragrafoelenco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5CE054" w14:textId="5749D13D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322447" w14:textId="77777777" w:rsidR="00972027" w:rsidRPr="00CD1530" w:rsidRDefault="00972027" w:rsidP="00972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902114"/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>Maggiori informazioni sono disponibili al sito web</w:t>
      </w:r>
      <w:r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r w:rsidRPr="00CD1530">
        <w:rPr>
          <w:rFonts w:ascii="NewsGoth BT" w:eastAsia="Times New Roman" w:hAnsi="NewsGoth BT" w:cs="Times New Roman"/>
          <w:i/>
          <w:iCs/>
          <w:sz w:val="24"/>
          <w:szCs w:val="24"/>
          <w:lang w:eastAsia="it-IT"/>
        </w:rPr>
        <w:t xml:space="preserve"> </w:t>
      </w:r>
      <w:hyperlink r:id="rId7">
        <w:bookmarkEnd w:id="0"/>
        <w:r w:rsidRPr="00CD1530">
          <w:rPr>
            <w:rStyle w:val="CollegamentoInternet"/>
            <w:rFonts w:ascii="NewsGoth BT" w:eastAsia="Times New Roman" w:hAnsi="NewsGoth BT" w:cs="Times New Roman"/>
            <w:sz w:val="24"/>
            <w:szCs w:val="24"/>
            <w:lang w:eastAsia="it-IT"/>
          </w:rPr>
          <w:t>https://www.pattononautosufficienza.it/</w:t>
        </w:r>
      </w:hyperlink>
      <w:r>
        <w:rPr>
          <w:rStyle w:val="CollegamentoInternet"/>
          <w:rFonts w:ascii="NewsGoth BT" w:eastAsia="Times New Roman" w:hAnsi="NewsGoth BT" w:cs="Times New Roman"/>
          <w:sz w:val="24"/>
          <w:szCs w:val="24"/>
          <w:lang w:eastAsia="it-IT"/>
        </w:rPr>
        <w:t xml:space="preserve"> </w:t>
      </w:r>
    </w:p>
    <w:p w14:paraId="45ECE3CE" w14:textId="2BEC3D17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05A5F" w14:textId="3FC7BF23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FC6646" w14:textId="29EC6CFD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1DEC91" w14:textId="0D095B88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936C4" w14:textId="6B86C62E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6DCFC5" w14:textId="0BC87231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D16911" w14:textId="33B86B8C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2A071" w14:textId="10D1ECF0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B7D84" w14:textId="7C8B11FB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3DD300" w14:textId="24D49AEB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47DCDA" w14:textId="5EF04281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42841" w14:textId="65F913D6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AEADC" w14:textId="77777777" w:rsidR="00A14943" w:rsidRDefault="00A14943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72B0B4" w14:textId="49F1B07F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0CE070" w14:textId="010AFC89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86D110" w14:textId="580F1C9E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915CF" w14:textId="33E689A1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BD2B9" w14:textId="36A6BAD8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5ABE78" w14:textId="77777777" w:rsidR="00972027" w:rsidRDefault="00972027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24F14" w14:textId="1A50B95D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E3EB72" w14:textId="33CC32E8" w:rsidR="00A03A7C" w:rsidRDefault="00A03A7C" w:rsidP="00377DE4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94715" w14:textId="7549DECD" w:rsidR="00A03A7C" w:rsidRDefault="00A03A7C" w:rsidP="00A03A7C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  <w:r w:rsidRPr="00CD1530">
        <w:rPr>
          <w:rFonts w:ascii="Dax" w:eastAsia="Times New Roman" w:hAnsi="Dax" w:cs="Times New Roman"/>
          <w:b/>
          <w:bCs/>
          <w:sz w:val="28"/>
          <w:szCs w:val="28"/>
          <w:lang w:eastAsia="it-IT"/>
        </w:rPr>
        <w:lastRenderedPageBreak/>
        <w:t>ORGANIZZAZIONI ADERENTI AL PATTO</w:t>
      </w:r>
    </w:p>
    <w:p w14:paraId="2DF55D2E" w14:textId="77777777" w:rsidR="00972027" w:rsidRPr="00CD1530" w:rsidRDefault="00972027" w:rsidP="00A03A7C">
      <w:pPr>
        <w:spacing w:after="0" w:line="340" w:lineRule="atLeast"/>
        <w:jc w:val="center"/>
        <w:rPr>
          <w:rFonts w:ascii="Dax" w:eastAsia="Times New Roman" w:hAnsi="Dax" w:cs="Times New Roman"/>
          <w:b/>
          <w:bCs/>
          <w:sz w:val="28"/>
          <w:szCs w:val="28"/>
          <w:lang w:eastAsia="it-IT"/>
        </w:rPr>
      </w:pPr>
    </w:p>
    <w:p w14:paraId="5258BE54" w14:textId="77777777" w:rsidR="00A03A7C" w:rsidRPr="00CD1530" w:rsidRDefault="00A03A7C" w:rsidP="00A03A7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318A8438" w14:textId="77777777" w:rsidR="00A03A7C" w:rsidRPr="00CD1530" w:rsidRDefault="00A03A7C" w:rsidP="00A03A7C">
      <w:pPr>
        <w:spacing w:after="0" w:line="340" w:lineRule="atLeast"/>
        <w:jc w:val="both"/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</w:pP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Il Patto raggruppa 5</w:t>
      </w:r>
      <w:r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7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 xml:space="preserve"> organizzazioni, la gran parte di quelle della società civile coinvolte nell’assistenza e nella tutela degli anziani non autosufficienti nel nostro Paese: rappresentano gli anziani, i loro familiari, i pensionati, gli ordini professionali e i soggetti che offrono servizi. </w:t>
      </w:r>
      <w:r w:rsidRPr="00CD1530">
        <w:rPr>
          <w:rFonts w:ascii="Dax" w:hAnsi="Dax" w:cs="Times New Roman"/>
          <w:b/>
          <w:bCs/>
          <w:i/>
          <w:iCs/>
          <w:sz w:val="24"/>
          <w:szCs w:val="24"/>
        </w:rPr>
        <w:t xml:space="preserve">Si tratta della </w:t>
      </w:r>
      <w:r w:rsidRPr="00CD1530">
        <w:rPr>
          <w:rFonts w:ascii="Dax" w:eastAsia="Times New Roman" w:hAnsi="Dax" w:cs="Times New Roman"/>
          <w:b/>
          <w:bCs/>
          <w:i/>
          <w:iCs/>
          <w:sz w:val="24"/>
          <w:szCs w:val="24"/>
          <w:lang w:eastAsia="it-IT"/>
        </w:rPr>
        <w:t>comunità italiana della non autosufficienza, che ha deciso di superare confini, appartenenze e specificità per unirsi.</w:t>
      </w:r>
    </w:p>
    <w:p w14:paraId="29FF1ACF" w14:textId="3904672F" w:rsidR="00A03A7C" w:rsidRDefault="00A03A7C" w:rsidP="00A03A7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78F735C3" w14:textId="77777777" w:rsidR="00972027" w:rsidRPr="00CD1530" w:rsidRDefault="00972027" w:rsidP="00A03A7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p w14:paraId="2549DB0C" w14:textId="77777777" w:rsidR="00710AB6" w:rsidRDefault="00710AB6" w:rsidP="00710A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Acli – Associazioni cristiane lavoratori italiani; AGeSPI – Associazione Gestori Servizi sociosanitari e cure Post Intensive; AIP – Associazione Italiana Psicogeriatria; AISLA – Associazione Italiana Sclerosi Laterale Amiotrofica; A.L.I.Ce. Italia ODV – Associazione per la Lotta all’Ictus Cerebrale; Alzheimer Uniti Italia Onlus; AMOR – Associazione Malati in Ossigeno-ventiloterapia e Riabilitazione; ANAP Confartigianato Persone – Associazione Nazionale Anziani e Pensionati; Anaste – Associazione nazionale strutture territoriali; A.N.N.A. – Associazione Nazionale Nutriti Artificialmente; ANPA Confagricoltura - Associazione Nazionale Pensionati Agricoltori; ANP-CIA – Associazione Nazionale Pensionati Cia; A.R.I.S. – Associazione Religiosa Istituti Socio-sanitari; ASSIFERO - Associazione Italiana Fondazioni e Enti Filantropici; Associazione Apnoici Italiani – APS; Associazione APRIRE – Assistenza Primaria In Rete – Salute a Km 0; Associazione Comitato Macula; Associazione Italiana Pazienti BPCO Onlus; Associazione Prima la Comunità; Associazione Nazionale Pazienti Respiriamo Insieme – APS; Assindatcolf – Associazione Nazionale dei Datori di Lavoro Domestico; Assoprevidenza – Associazione Italiana per la Previdenza Complementare; CARD ITALIA – Confederazione Associazioni Regionali dei Distretti; CARER ETS – Associazione Caregiver Familiari; Caritas Italiana; Cittadinanzattiva; CNA Pensionati; Confederazione Parkinson Italia; Consiglio Nazionale Ordine Assistenti Sociali; Consorzio MU.SA. – Consorzio Mutue sanitarie; Diaconia Valdese; F.A.I.S. – Federazione Associazioni Incontinenti e Stomizzati; Federazione Alzheimer Italia; Federazione Nazionale Coldiretti Pensionati; FEDERCENTRI – Associazione Centri Sociali Anziani; Fimiv – Federazione italiana della mutualità integrativa volontaria; FIDALDO – Federazione Italiana Datori di Lavoro Domestico; FNPA Casartigiani – Federazione Nazionale Pensionati Artigiani; FNP CISL PENSIONATI; Forum Disuguaglianze Diversità; Forum nazionale delle Associazioni di Nefropatici, Trapiantati d’organo e di Volontariato; Forum nazionale del Terzo Settore; La Bottega del Possibile APS; Legacoopsociali; Movimento per l’invecchiamento attivo, diritti sociali e sanitari; Network Non Autosufficienza (NNA); Nuova Collaborazione – Associazione Nazionale Datori di Lavoro Domestico; Percorsi di secondo welfare; Professione in famiglia; S.I.G.G. – Società Italiana di Gerontologia e Geriatria; SIGOT – Società Italiana di Geriatria Ospedale e Territorio; S.I.M.F.E.R. Società Italiana di Medicina Fisica e Riabilitativa; SOS Alzheimer; SPI-CGIL – Sindacato Pensionati Italiani; UIL Pensionati; UNEBA – Unione nazionale istituzioni e iniziative di assistenza sociale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.</w:t>
      </w:r>
    </w:p>
    <w:p w14:paraId="2D7F98E4" w14:textId="77777777" w:rsidR="00A03A7C" w:rsidRPr="00CD1530" w:rsidRDefault="00A03A7C" w:rsidP="00A03A7C">
      <w:pPr>
        <w:pStyle w:val="NormaleWeb"/>
        <w:spacing w:before="0" w:beforeAutospacing="0" w:after="0" w:line="340" w:lineRule="atLeast"/>
        <w:jc w:val="both"/>
        <w:rPr>
          <w:color w:val="333333"/>
          <w:shd w:val="clear" w:color="auto" w:fill="FFFFFF"/>
        </w:rPr>
      </w:pPr>
    </w:p>
    <w:p w14:paraId="32771E58" w14:textId="317DE8A5" w:rsidR="00A96D87" w:rsidRPr="00CD1530" w:rsidRDefault="00A96D87" w:rsidP="0086753C">
      <w:pPr>
        <w:spacing w:after="0" w:line="340" w:lineRule="atLeast"/>
        <w:jc w:val="both"/>
        <w:rPr>
          <w:rFonts w:ascii="Dax" w:eastAsia="Times New Roman" w:hAnsi="Dax" w:cs="Times New Roman"/>
          <w:i/>
          <w:iCs/>
          <w:sz w:val="24"/>
          <w:szCs w:val="24"/>
          <w:lang w:eastAsia="it-IT"/>
        </w:rPr>
      </w:pPr>
    </w:p>
    <w:sectPr w:rsidR="00A96D87" w:rsidRPr="00CD1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ax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A29"/>
    <w:multiLevelType w:val="hybridMultilevel"/>
    <w:tmpl w:val="83469DC0"/>
    <w:lvl w:ilvl="0" w:tplc="1D5CAA66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color w:val="222222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C14C6"/>
    <w:multiLevelType w:val="hybridMultilevel"/>
    <w:tmpl w:val="25082FB0"/>
    <w:lvl w:ilvl="0" w:tplc="00F882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03154">
    <w:abstractNumId w:val="1"/>
  </w:num>
  <w:num w:numId="2" w16cid:durableId="28732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6E"/>
    <w:rsid w:val="0000632B"/>
    <w:rsid w:val="0000745F"/>
    <w:rsid w:val="00037E45"/>
    <w:rsid w:val="000473AB"/>
    <w:rsid w:val="00057FF3"/>
    <w:rsid w:val="0008146A"/>
    <w:rsid w:val="00097E98"/>
    <w:rsid w:val="000B6BA1"/>
    <w:rsid w:val="000C06CB"/>
    <w:rsid w:val="000C242E"/>
    <w:rsid w:val="000E543B"/>
    <w:rsid w:val="000F36C4"/>
    <w:rsid w:val="000F73CA"/>
    <w:rsid w:val="0010143F"/>
    <w:rsid w:val="001252AF"/>
    <w:rsid w:val="00154207"/>
    <w:rsid w:val="00160127"/>
    <w:rsid w:val="0017292D"/>
    <w:rsid w:val="00174ECC"/>
    <w:rsid w:val="00175DA8"/>
    <w:rsid w:val="00180896"/>
    <w:rsid w:val="00180BAA"/>
    <w:rsid w:val="001B6649"/>
    <w:rsid w:val="001C3A72"/>
    <w:rsid w:val="001D392B"/>
    <w:rsid w:val="00226AA8"/>
    <w:rsid w:val="00270E02"/>
    <w:rsid w:val="002823A6"/>
    <w:rsid w:val="00292696"/>
    <w:rsid w:val="002A0B76"/>
    <w:rsid w:val="002B11F1"/>
    <w:rsid w:val="002B3F63"/>
    <w:rsid w:val="002D77BB"/>
    <w:rsid w:val="002E636E"/>
    <w:rsid w:val="002E6FED"/>
    <w:rsid w:val="002F03DE"/>
    <w:rsid w:val="003057ED"/>
    <w:rsid w:val="00310009"/>
    <w:rsid w:val="00316A84"/>
    <w:rsid w:val="0033094A"/>
    <w:rsid w:val="00330BC6"/>
    <w:rsid w:val="003447B1"/>
    <w:rsid w:val="00366F09"/>
    <w:rsid w:val="00367551"/>
    <w:rsid w:val="00377DE4"/>
    <w:rsid w:val="003B4F0C"/>
    <w:rsid w:val="003C6198"/>
    <w:rsid w:val="003D57C1"/>
    <w:rsid w:val="003D78D6"/>
    <w:rsid w:val="0042157E"/>
    <w:rsid w:val="00451B34"/>
    <w:rsid w:val="00460241"/>
    <w:rsid w:val="0047149B"/>
    <w:rsid w:val="00493798"/>
    <w:rsid w:val="004A32D4"/>
    <w:rsid w:val="004A4A33"/>
    <w:rsid w:val="004A4AAD"/>
    <w:rsid w:val="004B33DB"/>
    <w:rsid w:val="004C7A08"/>
    <w:rsid w:val="004E2360"/>
    <w:rsid w:val="004E690E"/>
    <w:rsid w:val="004E6A12"/>
    <w:rsid w:val="004F02FD"/>
    <w:rsid w:val="004F448C"/>
    <w:rsid w:val="00522480"/>
    <w:rsid w:val="005230E9"/>
    <w:rsid w:val="005274BC"/>
    <w:rsid w:val="0053021F"/>
    <w:rsid w:val="00533064"/>
    <w:rsid w:val="0054307C"/>
    <w:rsid w:val="0054585F"/>
    <w:rsid w:val="0056296D"/>
    <w:rsid w:val="005A717F"/>
    <w:rsid w:val="005B7998"/>
    <w:rsid w:val="005C3DF8"/>
    <w:rsid w:val="005D29CE"/>
    <w:rsid w:val="005E0DC1"/>
    <w:rsid w:val="005F09DA"/>
    <w:rsid w:val="005F3FD8"/>
    <w:rsid w:val="005F65B3"/>
    <w:rsid w:val="00600BB8"/>
    <w:rsid w:val="0060626B"/>
    <w:rsid w:val="00622B03"/>
    <w:rsid w:val="006377EC"/>
    <w:rsid w:val="00640D1E"/>
    <w:rsid w:val="00654871"/>
    <w:rsid w:val="006632B7"/>
    <w:rsid w:val="00664484"/>
    <w:rsid w:val="00670FD1"/>
    <w:rsid w:val="0067685E"/>
    <w:rsid w:val="006769BF"/>
    <w:rsid w:val="00680D15"/>
    <w:rsid w:val="0069720A"/>
    <w:rsid w:val="006C4227"/>
    <w:rsid w:val="006E5053"/>
    <w:rsid w:val="006E6A61"/>
    <w:rsid w:val="00710AB6"/>
    <w:rsid w:val="00734971"/>
    <w:rsid w:val="00751474"/>
    <w:rsid w:val="00796771"/>
    <w:rsid w:val="007A1A72"/>
    <w:rsid w:val="007A2637"/>
    <w:rsid w:val="007B3F0E"/>
    <w:rsid w:val="007C1CE7"/>
    <w:rsid w:val="007D13F4"/>
    <w:rsid w:val="007F722C"/>
    <w:rsid w:val="00811675"/>
    <w:rsid w:val="00811E86"/>
    <w:rsid w:val="0081725B"/>
    <w:rsid w:val="008373F5"/>
    <w:rsid w:val="008455CC"/>
    <w:rsid w:val="0086753C"/>
    <w:rsid w:val="00873AFA"/>
    <w:rsid w:val="0089090D"/>
    <w:rsid w:val="008A731F"/>
    <w:rsid w:val="008C3686"/>
    <w:rsid w:val="008E71F1"/>
    <w:rsid w:val="00915122"/>
    <w:rsid w:val="00931AD0"/>
    <w:rsid w:val="00952902"/>
    <w:rsid w:val="0095554E"/>
    <w:rsid w:val="009673F5"/>
    <w:rsid w:val="00972027"/>
    <w:rsid w:val="0099024E"/>
    <w:rsid w:val="009967B4"/>
    <w:rsid w:val="009B040B"/>
    <w:rsid w:val="009C6C23"/>
    <w:rsid w:val="009E735D"/>
    <w:rsid w:val="009F2356"/>
    <w:rsid w:val="009F5E0B"/>
    <w:rsid w:val="00A02E30"/>
    <w:rsid w:val="00A03A7C"/>
    <w:rsid w:val="00A14943"/>
    <w:rsid w:val="00A424AC"/>
    <w:rsid w:val="00A96D87"/>
    <w:rsid w:val="00AA36F2"/>
    <w:rsid w:val="00AE4410"/>
    <w:rsid w:val="00B1308D"/>
    <w:rsid w:val="00B14003"/>
    <w:rsid w:val="00B46387"/>
    <w:rsid w:val="00B86C4C"/>
    <w:rsid w:val="00B92819"/>
    <w:rsid w:val="00B97E1D"/>
    <w:rsid w:val="00BA014B"/>
    <w:rsid w:val="00BE6861"/>
    <w:rsid w:val="00BE7749"/>
    <w:rsid w:val="00C01654"/>
    <w:rsid w:val="00C103D8"/>
    <w:rsid w:val="00C23A53"/>
    <w:rsid w:val="00C248EE"/>
    <w:rsid w:val="00C43920"/>
    <w:rsid w:val="00C55192"/>
    <w:rsid w:val="00C709B3"/>
    <w:rsid w:val="00C73933"/>
    <w:rsid w:val="00C8097B"/>
    <w:rsid w:val="00C8114B"/>
    <w:rsid w:val="00CA7C22"/>
    <w:rsid w:val="00CB246D"/>
    <w:rsid w:val="00CC3D51"/>
    <w:rsid w:val="00CD1530"/>
    <w:rsid w:val="00CD675E"/>
    <w:rsid w:val="00CE5569"/>
    <w:rsid w:val="00CF2299"/>
    <w:rsid w:val="00D13DC2"/>
    <w:rsid w:val="00D242EB"/>
    <w:rsid w:val="00D539FE"/>
    <w:rsid w:val="00D53C28"/>
    <w:rsid w:val="00D75252"/>
    <w:rsid w:val="00DA56D7"/>
    <w:rsid w:val="00DB4E5D"/>
    <w:rsid w:val="00DC23C3"/>
    <w:rsid w:val="00DC24C4"/>
    <w:rsid w:val="00DC3003"/>
    <w:rsid w:val="00DD5AFC"/>
    <w:rsid w:val="00DE2DED"/>
    <w:rsid w:val="00E006F4"/>
    <w:rsid w:val="00E0317E"/>
    <w:rsid w:val="00E117FB"/>
    <w:rsid w:val="00E31403"/>
    <w:rsid w:val="00E44087"/>
    <w:rsid w:val="00E47A64"/>
    <w:rsid w:val="00E8456E"/>
    <w:rsid w:val="00E90CB2"/>
    <w:rsid w:val="00EB421D"/>
    <w:rsid w:val="00EB7295"/>
    <w:rsid w:val="00EB7737"/>
    <w:rsid w:val="00EC0B8E"/>
    <w:rsid w:val="00EC4BA2"/>
    <w:rsid w:val="00EC72FC"/>
    <w:rsid w:val="00EC7DD5"/>
    <w:rsid w:val="00EE0657"/>
    <w:rsid w:val="00EE3AFC"/>
    <w:rsid w:val="00F0228F"/>
    <w:rsid w:val="00F0320E"/>
    <w:rsid w:val="00F15322"/>
    <w:rsid w:val="00F333F0"/>
    <w:rsid w:val="00F413EF"/>
    <w:rsid w:val="00F4651D"/>
    <w:rsid w:val="00F60205"/>
    <w:rsid w:val="00F61319"/>
    <w:rsid w:val="00F63C01"/>
    <w:rsid w:val="00F7749F"/>
    <w:rsid w:val="00F86FAB"/>
    <w:rsid w:val="00F959B3"/>
    <w:rsid w:val="00F96123"/>
    <w:rsid w:val="00F97E70"/>
    <w:rsid w:val="00FC1B2A"/>
    <w:rsid w:val="00FC5993"/>
    <w:rsid w:val="00FD478A"/>
    <w:rsid w:val="00FD69FC"/>
    <w:rsid w:val="00FE62CB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CDF1"/>
  <w15:chartTrackingRefBased/>
  <w15:docId w15:val="{4F58F0B0-3937-46AE-9F03-62E535AA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F448C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A263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B33D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937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3798"/>
    <w:rPr>
      <w:color w:val="605E5C"/>
      <w:shd w:val="clear" w:color="auto" w:fill="E1DFDD"/>
    </w:rPr>
  </w:style>
  <w:style w:type="character" w:customStyle="1" w:styleId="fontstyle21">
    <w:name w:val="fontstyle21"/>
    <w:basedOn w:val="Carpredefinitoparagrafo"/>
    <w:rsid w:val="005E0D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C06CB"/>
    <w:pPr>
      <w:ind w:left="720"/>
      <w:contextualSpacing/>
    </w:pPr>
  </w:style>
  <w:style w:type="character" w:customStyle="1" w:styleId="hgkelc">
    <w:name w:val="hgkelc"/>
    <w:basedOn w:val="Carpredefinitoparagrafo"/>
    <w:rsid w:val="002A0B76"/>
  </w:style>
  <w:style w:type="character" w:customStyle="1" w:styleId="fontstyle01">
    <w:name w:val="fontstyle01"/>
    <w:basedOn w:val="Carpredefinitoparagrafo"/>
    <w:rsid w:val="00DB4E5D"/>
    <w:rPr>
      <w:rFonts w:ascii="Calibri" w:hAnsi="Calibri" w:cs="Calibri" w:hint="default"/>
      <w:b w:val="0"/>
      <w:bCs w:val="0"/>
      <w:i w:val="0"/>
      <w:iCs w:val="0"/>
      <w:color w:val="137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attononautosufficienz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15E35-4E0E-41D7-9FF0-073161DC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Gori, Cristiano</dc:creator>
  <cp:keywords/>
  <dc:description/>
  <cp:lastModifiedBy>michela biolzi</cp:lastModifiedBy>
  <cp:revision>139</cp:revision>
  <dcterms:created xsi:type="dcterms:W3CDTF">2023-03-15T10:27:00Z</dcterms:created>
  <dcterms:modified xsi:type="dcterms:W3CDTF">2023-03-22T07:26:00Z</dcterms:modified>
</cp:coreProperties>
</file>